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C" w:rsidRDefault="00FF054C" w:rsidP="00FF054C">
      <w:pPr>
        <w:pStyle w:val="20"/>
        <w:shd w:val="clear" w:color="auto" w:fill="auto"/>
        <w:spacing w:after="0" w:line="328" w:lineRule="exact"/>
        <w:jc w:val="center"/>
      </w:pPr>
      <w:r>
        <w:rPr>
          <w:color w:val="000000"/>
          <w:sz w:val="24"/>
          <w:szCs w:val="24"/>
          <w:lang w:eastAsia="ru-RU" w:bidi="ru-RU"/>
        </w:rPr>
        <w:t>Информация о трудоустройстве выпускников профессиональных образовательных организаций и образовательных организаций высшего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образования, расположенных на территории Ульяновской области</w:t>
      </w:r>
    </w:p>
    <w:p w:rsidR="00FF054C" w:rsidRDefault="00FF054C" w:rsidP="00FF054C">
      <w:pPr>
        <w:pStyle w:val="21"/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>Министерством образования и науки Ульяновской области проведён мониторинг предварительного трудоустройства выпускников 2016 года профессиональных образовательных организаций и образовательных организаций высшего образования.</w:t>
      </w:r>
    </w:p>
    <w:p w:rsidR="00FF054C" w:rsidRDefault="00FF054C" w:rsidP="00FF054C">
      <w:pPr>
        <w:pStyle w:val="21"/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>По предварительным данным профессиональных образовательных организаций и образовательных организаций высшего образования в 2016 году количество выпускников очной формы обучения составит 7816 чел. (выпускников образовательных организаций высшего образования - 4229 чел.), из них: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планируют продолжить обучение - 1887 чел. (24,1 %), из них выпускников вузов - 1151 чел.;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подлежат призыву в армию - 1206 чел. (15,4%), из них выпускников вузов - 437 чел.;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планируют осуществлять уход за ребёнком - 209 чел. (2,7%), из них выпускников вузов - 65 чел.;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состоянию на текущий период не определились с трудоустройством - 656 чел. (8,4%), из них выпускников вузов - 499 чел.;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планируют выехать за пределы региона - 676 чел, (8,6%), из них выпускников вузов - 562 чел. (из них на место постоянного жительства планируют выехать - 404 чел.);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определились с дальнейшим трудоустройством - 3858 чел. (49,4 %), из них выпускников вузов — 2077 чел.</w:t>
      </w:r>
    </w:p>
    <w:p w:rsidR="00FF054C" w:rsidRDefault="00FF054C" w:rsidP="00FF054C">
      <w:pPr>
        <w:pStyle w:val="21"/>
        <w:shd w:val="clear" w:color="auto" w:fill="auto"/>
        <w:tabs>
          <w:tab w:val="center" w:pos="3674"/>
          <w:tab w:val="center" w:pos="6338"/>
          <w:tab w:val="right" w:pos="9704"/>
        </w:tabs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>Мероприятия, проведённые в 2015 - 2016 учебном году, способствующие трудоустройству</w:t>
      </w:r>
      <w:r>
        <w:rPr>
          <w:color w:val="000000"/>
          <w:sz w:val="24"/>
          <w:szCs w:val="24"/>
          <w:lang w:eastAsia="ru-RU" w:bidi="ru-RU"/>
        </w:rPr>
        <w:tab/>
        <w:t>выпускников образовательных организаций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профессионального образования: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участие обучающихся и студентов профессиональных образовательных организаций и образовательных организаций высшего образования в ярмарках вакансий, проводимых центрами занятости населения;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проведение встреч представителей работодателей с обучающимися и студентами выпускных курсов региона с целью привлечения молодых специалистов на предприятия;</w:t>
      </w:r>
    </w:p>
    <w:p w:rsidR="00FF054C" w:rsidRDefault="00FF054C" w:rsidP="00FF054C">
      <w:pPr>
        <w:pStyle w:val="21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проведение встреч с участием представителей отраслевых министерств, руководителей предприятий (организаций) и руководителей образовательных организаций и образовательных организаций высшего образования с целью заключения соглашений о сотрудничестве по вопросам подготовки квалифицированных кадров образовательными учреждениями и трудоустройства выпускников на предприятиях региона.</w:t>
      </w:r>
    </w:p>
    <w:p w:rsidR="00E95145" w:rsidRDefault="00E95145"/>
    <w:p w:rsidR="00FF054C" w:rsidRDefault="00FF054C"/>
    <w:p w:rsidR="00FF054C" w:rsidRDefault="00FF054C"/>
    <w:p w:rsidR="00FF054C" w:rsidRDefault="00FF054C" w:rsidP="00FF0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4C" w:rsidRPr="00FF054C" w:rsidRDefault="00FF054C" w:rsidP="00FF0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4C">
        <w:rPr>
          <w:rFonts w:ascii="Times New Roman" w:hAnsi="Times New Roman" w:cs="Times New Roman"/>
          <w:b/>
          <w:sz w:val="24"/>
          <w:szCs w:val="24"/>
        </w:rPr>
        <w:t>Информация о мониторинге эффективности вузов 2016 года</w:t>
      </w:r>
    </w:p>
    <w:p w:rsidR="00FF054C" w:rsidRPr="00FF054C" w:rsidRDefault="00FF054C" w:rsidP="00FF054C">
      <w:pPr>
        <w:jc w:val="both"/>
        <w:rPr>
          <w:rFonts w:ascii="Times New Roman" w:hAnsi="Times New Roman" w:cs="Times New Roman"/>
          <w:sz w:val="24"/>
          <w:szCs w:val="24"/>
        </w:rPr>
      </w:pPr>
      <w:r w:rsidRPr="00FF054C">
        <w:rPr>
          <w:rFonts w:ascii="Times New Roman" w:hAnsi="Times New Roman" w:cs="Times New Roman"/>
          <w:sz w:val="24"/>
          <w:szCs w:val="24"/>
        </w:rPr>
        <w:t>Мониторинг эффективности вузов проводился на территории Российской Федерации в 2016 году в соответствии с приказом Министерства образования и науки Российской Федерации от 18.03.2016 № 244 «О проведении мониторинга эффективности образовательных организаций высшего образования».</w:t>
      </w:r>
    </w:p>
    <w:p w:rsidR="00FF054C" w:rsidRPr="00FF054C" w:rsidRDefault="00FF054C" w:rsidP="00FF054C">
      <w:pPr>
        <w:jc w:val="both"/>
        <w:rPr>
          <w:rFonts w:ascii="Times New Roman" w:hAnsi="Times New Roman" w:cs="Times New Roman"/>
          <w:sz w:val="24"/>
          <w:szCs w:val="24"/>
        </w:rPr>
      </w:pPr>
      <w:r w:rsidRPr="00FF054C">
        <w:rPr>
          <w:rFonts w:ascii="Times New Roman" w:hAnsi="Times New Roman" w:cs="Times New Roman"/>
          <w:sz w:val="24"/>
          <w:szCs w:val="24"/>
        </w:rPr>
        <w:t>Все вузы, расположенные на территории Ульяновской области, отвечают 5 (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им.И.Н.Ульянова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, УГСХА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им.П.А.Столыпина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>, УИ ГА им</w:t>
      </w:r>
      <w:proofErr w:type="gramStart"/>
      <w:r w:rsidRPr="00FF05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F054C">
        <w:rPr>
          <w:rFonts w:ascii="Times New Roman" w:hAnsi="Times New Roman" w:cs="Times New Roman"/>
          <w:sz w:val="24"/>
          <w:szCs w:val="24"/>
        </w:rPr>
        <w:t>лавного маршала авиации Б.П.Бугаева) или 6 (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показателям, что позволяет причислить их к эффективно работающим.</w:t>
      </w:r>
    </w:p>
    <w:p w:rsidR="00FF054C" w:rsidRPr="00FF054C" w:rsidRDefault="00FF054C" w:rsidP="00FF054C">
      <w:pPr>
        <w:jc w:val="both"/>
        <w:rPr>
          <w:rFonts w:ascii="Times New Roman" w:hAnsi="Times New Roman" w:cs="Times New Roman"/>
          <w:sz w:val="24"/>
          <w:szCs w:val="24"/>
        </w:rPr>
      </w:pPr>
      <w:r w:rsidRPr="00FF054C">
        <w:rPr>
          <w:rFonts w:ascii="Times New Roman" w:hAnsi="Times New Roman" w:cs="Times New Roman"/>
          <w:sz w:val="24"/>
          <w:szCs w:val="24"/>
        </w:rPr>
        <w:t>Более того, проведенный сравнительный анализ с другими вузами ПФО по профилям показывает, что вузы, расположенные на территории региона имеют неплохие показатели по ряду направлений деятельности.</w:t>
      </w:r>
    </w:p>
    <w:p w:rsidR="00FF054C" w:rsidRPr="00FF054C" w:rsidRDefault="00FF054C" w:rsidP="00FF054C">
      <w:pPr>
        <w:jc w:val="both"/>
        <w:rPr>
          <w:rFonts w:ascii="Times New Roman" w:hAnsi="Times New Roman" w:cs="Times New Roman"/>
          <w:sz w:val="24"/>
          <w:szCs w:val="24"/>
        </w:rPr>
      </w:pPr>
      <w:r w:rsidRPr="00FF054C">
        <w:rPr>
          <w:rFonts w:ascii="Times New Roman" w:hAnsi="Times New Roman" w:cs="Times New Roman"/>
          <w:sz w:val="24"/>
          <w:szCs w:val="24"/>
        </w:rPr>
        <w:t xml:space="preserve">Так Ульяновский государственный педагогический университет имени И.Н.Ульянова находится на втором месте среди девяти педагогических вузов ПФО по показателю «Образовательная деятельность», уступая при этом лишь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Набережночелнинскому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государственному педагогическому университету. По показателю «Научно-исследовательская деятельность»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на третьем месте, на четвертом месте по дополнительному показателю. </w:t>
      </w:r>
      <w:proofErr w:type="gramStart"/>
      <w:r w:rsidRPr="00FF054C">
        <w:rPr>
          <w:rFonts w:ascii="Times New Roman" w:hAnsi="Times New Roman" w:cs="Times New Roman"/>
          <w:sz w:val="24"/>
          <w:szCs w:val="24"/>
        </w:rPr>
        <w:t xml:space="preserve">Хотелось бы отметить и тот факт, что, несмотря на относительно невысокое по сравнению с некоторыми другими педвузами число публикаций индексируемых в информационно-аналитической системе научного цитирования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(в расчете на 100 НПР), </w:t>
      </w:r>
      <w:proofErr w:type="spellStart"/>
      <w:r w:rsidRPr="00FF054C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FF054C">
        <w:rPr>
          <w:rFonts w:ascii="Times New Roman" w:hAnsi="Times New Roman" w:cs="Times New Roman"/>
          <w:sz w:val="24"/>
          <w:szCs w:val="24"/>
        </w:rPr>
        <w:t xml:space="preserve"> имеет самое большое в указанных системах количество цитирований публикаций, изданных за последние 5 лет.</w:t>
      </w:r>
      <w:proofErr w:type="gramEnd"/>
    </w:p>
    <w:p w:rsidR="00FF054C" w:rsidRDefault="00FF054C" w:rsidP="00FF054C">
      <w:pPr>
        <w:pStyle w:val="21"/>
        <w:shd w:val="clear" w:color="auto" w:fill="auto"/>
        <w:spacing w:before="0" w:after="297" w:line="317" w:lineRule="exact"/>
        <w:ind w:left="20" w:right="20"/>
        <w:jc w:val="both"/>
      </w:pPr>
      <w:proofErr w:type="gramStart"/>
      <w:r w:rsidRPr="00FF054C">
        <w:rPr>
          <w:sz w:val="24"/>
          <w:szCs w:val="24"/>
        </w:rPr>
        <w:t xml:space="preserve">Сравнение восьми сельскохозяйственных вузов ПФО показало, что Ульяновская государственная сельскохозяйственная академия </w:t>
      </w:r>
      <w:proofErr w:type="spellStart"/>
      <w:r w:rsidRPr="00FF054C">
        <w:rPr>
          <w:sz w:val="24"/>
          <w:szCs w:val="24"/>
        </w:rPr>
        <w:t>им.П.А.Столыпина</w:t>
      </w:r>
      <w:proofErr w:type="spellEnd"/>
      <w:r w:rsidRPr="00FF054C">
        <w:rPr>
          <w:sz w:val="24"/>
          <w:szCs w:val="24"/>
        </w:rPr>
        <w:t xml:space="preserve"> находится на четвертом месте по показателю «Научно- исследовательская деятельность», однако при этом имеет лучшие показатели по количеству цитирований публикаций, изданных за последние 5 лет, индексируемых в информационно-аналитической системе научного цитирования </w:t>
      </w:r>
      <w:proofErr w:type="spellStart"/>
      <w:r w:rsidRPr="00FF054C">
        <w:rPr>
          <w:sz w:val="24"/>
          <w:szCs w:val="24"/>
        </w:rPr>
        <w:t>Scopus</w:t>
      </w:r>
      <w:proofErr w:type="spellEnd"/>
      <w:r w:rsidRPr="00FF054C">
        <w:rPr>
          <w:sz w:val="24"/>
          <w:szCs w:val="24"/>
        </w:rPr>
        <w:t xml:space="preserve"> в расчете на 100 НПР, а также по количеству цитирований публикаций, изданных за последние</w:t>
      </w:r>
      <w:proofErr w:type="gramEnd"/>
      <w:r w:rsidRPr="00FF054C">
        <w:rPr>
          <w:sz w:val="24"/>
          <w:szCs w:val="24"/>
        </w:rPr>
        <w:t xml:space="preserve"> 5 лет, индексируемых в Российском индексе научного цитирования (далее - РИНЦ) в расчете на 100 НПР; аналогичная ситуация и по числу публикаций организации, индексируемых в </w:t>
      </w:r>
      <w:proofErr w:type="spellStart"/>
      <w:r w:rsidRPr="00FF054C">
        <w:rPr>
          <w:sz w:val="24"/>
          <w:szCs w:val="24"/>
        </w:rPr>
        <w:t>информационно-аналитическоих</w:t>
      </w:r>
      <w:proofErr w:type="spellEnd"/>
      <w:r w:rsidRPr="00FF054C">
        <w:rPr>
          <w:sz w:val="24"/>
          <w:szCs w:val="24"/>
        </w:rPr>
        <w:t xml:space="preserve"> системах научного цитирования </w:t>
      </w:r>
      <w:proofErr w:type="spellStart"/>
      <w:r w:rsidRPr="00FF054C">
        <w:rPr>
          <w:sz w:val="24"/>
          <w:szCs w:val="24"/>
        </w:rPr>
        <w:t>Scopus</w:t>
      </w:r>
      <w:proofErr w:type="spellEnd"/>
      <w:r w:rsidRPr="00FF054C">
        <w:rPr>
          <w:sz w:val="24"/>
          <w:szCs w:val="24"/>
        </w:rPr>
        <w:t xml:space="preserve"> и РИНЦ, в расчете на 100 НПР. Академия на первом месте по показателю «Финансово-экономическая деятельность». УГСХА занимает второе место по показателю «Международная деятельность», пропустив вперед по данному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показателю лишь Казанскую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государственную академию ветеринарной медицины имени Н.Э.Баумана. Академия </w:t>
      </w:r>
      <w:proofErr w:type="spellStart"/>
      <w:r>
        <w:rPr>
          <w:color w:val="000000"/>
          <w:sz w:val="24"/>
          <w:szCs w:val="24"/>
          <w:lang w:eastAsia="ru-RU" w:bidi="ru-RU"/>
        </w:rPr>
        <w:t>демострирует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хорошее взаимодействие с предприятиями по подготовке кадров, занимая вторые позиции по числу предприятий, с которыми заключены договоры на подготовку специалистов и числу предприятий, являющихся базами практики, с которыми оформлены договорные отношения.</w:t>
      </w:r>
    </w:p>
    <w:p w:rsidR="00FF054C" w:rsidRDefault="00FF054C" w:rsidP="00FF054C">
      <w:pPr>
        <w:pStyle w:val="21"/>
        <w:shd w:val="clear" w:color="auto" w:fill="auto"/>
        <w:spacing w:before="0" w:after="300" w:line="320" w:lineRule="exact"/>
        <w:ind w:left="20" w:right="20" w:firstLine="700"/>
        <w:jc w:val="both"/>
      </w:pPr>
      <w:proofErr w:type="gramStart"/>
      <w:r>
        <w:rPr>
          <w:rStyle w:val="0pt"/>
        </w:rPr>
        <w:t xml:space="preserve">Ульяновский государственный технический университет </w:t>
      </w:r>
      <w:r>
        <w:rPr>
          <w:color w:val="000000"/>
          <w:sz w:val="24"/>
          <w:szCs w:val="24"/>
          <w:lang w:eastAsia="ru-RU" w:bidi="ru-RU"/>
        </w:rPr>
        <w:t>занимает второе место по показателю «Международная деятельность среди 8 вузов (6 технических и 2 технологических, преимущественно реализующих образовательные программы из области знаний Инженерное дело, технологии и технические науки), а также делит второе место по показателю «Трудоустройство» с Нижегородским государственным техническим университетом им. Р.Е. Алексеева (после Самарского государственного технического университета).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Находясь на четвертом месте по показателю «доля иностранных студентов в общей численности студентов, обучающихся по программам </w:t>
      </w:r>
      <w:proofErr w:type="spellStart"/>
      <w:r>
        <w:rPr>
          <w:color w:val="000000"/>
          <w:sz w:val="24"/>
          <w:szCs w:val="24"/>
          <w:lang w:eastAsia="ru-RU" w:bidi="ru-RU"/>
        </w:rPr>
        <w:t>бакалавриата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специалитета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магистратуры», вуз находится на третьем месте по доходам из иностранных источников на выполнение НИОКР и на первом по доходам вуза от образовательной деятельности из иностранных источников. Неплохие позиции у вуза по количеству малых предприятий </w:t>
      </w:r>
      <w:r>
        <w:rPr>
          <w:rStyle w:val="1pt"/>
        </w:rPr>
        <w:t>(2</w:t>
      </w:r>
      <w:r>
        <w:rPr>
          <w:color w:val="000000"/>
          <w:sz w:val="24"/>
          <w:szCs w:val="24"/>
          <w:lang w:eastAsia="ru-RU" w:bidi="ru-RU"/>
        </w:rPr>
        <w:t xml:space="preserve"> место) и по количеству полученных грантов за отчетный год в расчете на 100 НПР (3 место).</w:t>
      </w:r>
    </w:p>
    <w:p w:rsidR="00FF054C" w:rsidRDefault="00FF054C" w:rsidP="00FF054C">
      <w:pPr>
        <w:pStyle w:val="21"/>
        <w:shd w:val="clear" w:color="auto" w:fill="auto"/>
        <w:spacing w:before="0" w:line="320" w:lineRule="exact"/>
        <w:ind w:left="20" w:right="20" w:firstLine="700"/>
        <w:jc w:val="both"/>
      </w:pPr>
      <w:r>
        <w:rPr>
          <w:rStyle w:val="0pt"/>
        </w:rPr>
        <w:t xml:space="preserve">Ульяновский государственный университет </w:t>
      </w:r>
      <w:r>
        <w:rPr>
          <w:color w:val="000000"/>
          <w:sz w:val="24"/>
          <w:szCs w:val="24"/>
          <w:lang w:eastAsia="ru-RU" w:bidi="ru-RU"/>
        </w:rPr>
        <w:t xml:space="preserve">является лучшим среди девяти классических университетов ПФО по показателю «Научно-исследовательская деятельность», опережая при этом даже Национальный исследовательский Мордовский государственный университет им. Н.П.Огарёва, и только этому вузу </w:t>
      </w:r>
      <w:proofErr w:type="spellStart"/>
      <w:r>
        <w:rPr>
          <w:color w:val="000000"/>
          <w:sz w:val="24"/>
          <w:szCs w:val="24"/>
          <w:lang w:eastAsia="ru-RU" w:bidi="ru-RU"/>
        </w:rPr>
        <w:t>УлГУ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уступает по дополнительному показателю, находясь по нему на втором месте.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При этом </w:t>
      </w:r>
      <w:proofErr w:type="spellStart"/>
      <w:r>
        <w:rPr>
          <w:color w:val="000000"/>
          <w:sz w:val="24"/>
          <w:szCs w:val="24"/>
          <w:lang w:eastAsia="ru-RU" w:bidi="ru-RU"/>
        </w:rPr>
        <w:t>УлГУ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опережает все сравниваемые вузы по количеству цитирований публикаций, изданных за последние 5 лет, индексируемых в </w:t>
      </w:r>
      <w:proofErr w:type="spellStart"/>
      <w:r>
        <w:rPr>
          <w:color w:val="000000"/>
          <w:sz w:val="24"/>
          <w:szCs w:val="24"/>
          <w:lang w:eastAsia="ru-RU" w:bidi="ru-RU"/>
        </w:rPr>
        <w:t>информационно-аналитическоих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системеах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научного цитирования </w:t>
      </w:r>
      <w:r>
        <w:rPr>
          <w:color w:val="000000"/>
          <w:sz w:val="24"/>
          <w:szCs w:val="24"/>
          <w:lang w:val="en-US" w:bidi="en-US"/>
        </w:rPr>
        <w:t>Web</w:t>
      </w:r>
      <w:r w:rsidRPr="007527A6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of</w:t>
      </w:r>
      <w:r w:rsidRPr="007527A6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Science</w:t>
      </w:r>
      <w:r w:rsidRPr="007527A6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sz w:val="24"/>
          <w:szCs w:val="24"/>
          <w:lang w:val="en-US" w:bidi="en-US"/>
        </w:rPr>
        <w:t>Scopus</w:t>
      </w:r>
      <w:r w:rsidRPr="007527A6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 расчете на 100 НПР и занимает соответственно второе и третье места по числу публикаций, индексируемых в этих системах, в расчёте на 100 НПР, На 4 месте </w:t>
      </w:r>
      <w:proofErr w:type="spellStart"/>
      <w:r>
        <w:rPr>
          <w:color w:val="000000"/>
          <w:sz w:val="24"/>
          <w:szCs w:val="24"/>
          <w:lang w:eastAsia="ru-RU" w:bidi="ru-RU"/>
        </w:rPr>
        <w:t>УлГУ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находится по показателю «Международная деятельность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», однако является лучшим по числу статей, подготовленных совместно с зарубежными организациями, и занимает третьи позиции по доходам вуза из иностранных источников на выполнение НИОКР и доходам вуза от образовательной деятельности из иностранных источников. </w:t>
      </w:r>
      <w:proofErr w:type="spellStart"/>
      <w:r>
        <w:rPr>
          <w:color w:val="000000"/>
          <w:sz w:val="24"/>
          <w:szCs w:val="24"/>
          <w:lang w:eastAsia="ru-RU" w:bidi="ru-RU"/>
        </w:rPr>
        <w:t>УлГУ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обеспечивает среднюю заработную плату в 35,88 тыс. рублей (4 место) для преподавателей и 97,18 тыс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ублей (1 место) для научных работников.</w:t>
      </w:r>
    </w:p>
    <w:p w:rsidR="00FF054C" w:rsidRDefault="00FF054C" w:rsidP="00FF0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4C" w:rsidRDefault="00FF054C" w:rsidP="00FF0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4C" w:rsidRDefault="00FF054C" w:rsidP="00FF0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4C" w:rsidRDefault="00FF054C" w:rsidP="00FF054C">
      <w:pPr>
        <w:pStyle w:val="20"/>
        <w:shd w:val="clear" w:color="auto" w:fill="auto"/>
        <w:spacing w:after="0" w:line="240" w:lineRule="exact"/>
        <w:ind w:left="20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Сведения по показателям вузов</w:t>
      </w:r>
    </w:p>
    <w:p w:rsidR="00FF054C" w:rsidRDefault="00FF054C" w:rsidP="00FF054C">
      <w:pPr>
        <w:pStyle w:val="20"/>
        <w:shd w:val="clear" w:color="auto" w:fill="auto"/>
        <w:spacing w:after="0" w:line="240" w:lineRule="exact"/>
        <w:ind w:left="20"/>
        <w:jc w:val="center"/>
      </w:pPr>
    </w:p>
    <w:tbl>
      <w:tblPr>
        <w:tblW w:w="142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1615"/>
        <w:gridCol w:w="985"/>
        <w:gridCol w:w="1065"/>
        <w:gridCol w:w="1134"/>
        <w:gridCol w:w="1084"/>
        <w:gridCol w:w="1136"/>
        <w:gridCol w:w="1071"/>
        <w:gridCol w:w="1154"/>
        <w:gridCol w:w="1223"/>
        <w:gridCol w:w="1136"/>
        <w:gridCol w:w="1002"/>
        <w:gridCol w:w="1169"/>
      </w:tblGrid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180"/>
            </w:pPr>
            <w:r>
              <w:rPr>
                <w:rStyle w:val="55pt0pt"/>
              </w:rPr>
              <w:t>№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Наименование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Пороговое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значение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proofErr w:type="spellStart"/>
            <w:r>
              <w:rPr>
                <w:rStyle w:val="85pt0pt"/>
              </w:rPr>
              <w:t>УлГУ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proofErr w:type="spellStart"/>
            <w:r>
              <w:rPr>
                <w:rStyle w:val="85pt0pt"/>
              </w:rPr>
              <w:t>УлГТУ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proofErr w:type="spellStart"/>
            <w:r>
              <w:rPr>
                <w:rStyle w:val="85pt0pt"/>
              </w:rPr>
              <w:t>УлГПУ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УГСХА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УЙ ГА</w:t>
            </w:r>
          </w:p>
        </w:tc>
      </w:tr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1024"/>
        </w:trPr>
        <w:tc>
          <w:tcPr>
            <w:tcW w:w="5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/>
        </w:tc>
        <w:tc>
          <w:tcPr>
            <w:tcW w:w="16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/>
        </w:tc>
        <w:tc>
          <w:tcPr>
            <w:tcW w:w="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Значение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Изменение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относительно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прошлого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Значение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Изменение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относительно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прошлого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года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Значение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показателя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Изменение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относительно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прошлого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Значение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"/>
              </w:rPr>
              <w:t>Изменение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"/>
              </w:rPr>
              <w:t>относительно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"/>
              </w:rPr>
              <w:t>прошлого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"/>
              </w:rPr>
              <w:t>года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Значение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"/>
              </w:rPr>
              <w:t>Изменение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proofErr w:type="spellStart"/>
            <w:r>
              <w:rPr>
                <w:rStyle w:val="85pt0pt"/>
              </w:rPr>
              <w:t>относительнс</w:t>
            </w:r>
            <w:proofErr w:type="spellEnd"/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"/>
              </w:rPr>
              <w:t>прошлого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"/>
              </w:rPr>
              <w:t>года</w:t>
            </w:r>
          </w:p>
        </w:tc>
      </w:tr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ind w:left="180"/>
            </w:pPr>
            <w:r>
              <w:rPr>
                <w:rStyle w:val="85pt0pt"/>
              </w:rPr>
              <w:t>Е. 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both"/>
            </w:pPr>
            <w:r>
              <w:rPr>
                <w:rStyle w:val="85pt0pt"/>
              </w:rPr>
              <w:t>Образовательная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both"/>
            </w:pPr>
            <w:r>
              <w:rPr>
                <w:rStyle w:val="85pt0pt"/>
              </w:rPr>
              <w:t>деятельность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80"/>
            </w:pPr>
            <w:r>
              <w:rPr>
                <w:rStyle w:val="55pt0pt"/>
              </w:rPr>
              <w:t>и-1,8%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(58,69)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59,54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+3,4%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66,27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+6.4%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00"/>
            </w:pPr>
            <w:r>
              <w:rPr>
                <w:rStyle w:val="55pt0pt"/>
              </w:rPr>
              <w:t>(62,29)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52,09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40"/>
            </w:pPr>
            <w:r>
              <w:rPr>
                <w:rStyle w:val="55pt0pt"/>
              </w:rPr>
              <w:t>+0,5%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(51,82)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68,5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+7.4%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(63,77)</w:t>
            </w:r>
          </w:p>
        </w:tc>
      </w:tr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ind w:left="180"/>
            </w:pPr>
            <w:r>
              <w:rPr>
                <w:rStyle w:val="85pt0pt"/>
              </w:rPr>
              <w:t>Е.2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both"/>
            </w:pPr>
            <w:r>
              <w:rPr>
                <w:rStyle w:val="85pt0pt"/>
              </w:rPr>
              <w:t>Научно-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"/>
              </w:rPr>
              <w:t>исследовательская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both"/>
            </w:pPr>
            <w:r>
              <w:rPr>
                <w:rStyle w:val="85pt0pt"/>
              </w:rPr>
              <w:t>деятельность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51,28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80"/>
            </w:pPr>
            <w:r>
              <w:rPr>
                <w:rStyle w:val="55pt0pt"/>
              </w:rPr>
              <w:t>-9,3%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(326,4)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140,4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00"/>
            </w:pPr>
            <w:r>
              <w:rPr>
                <w:rStyle w:val="55pt0pt"/>
              </w:rPr>
              <w:t>-20.0%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00"/>
            </w:pPr>
            <w:r>
              <w:rPr>
                <w:rStyle w:val="55pt0pt"/>
              </w:rPr>
              <w:t>(175,41)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98,23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180"/>
            </w:pPr>
            <w:r>
              <w:rPr>
                <w:rStyle w:val="55pt0pt"/>
              </w:rPr>
              <w:t>-61,2%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00"/>
            </w:pPr>
            <w:r>
              <w:rPr>
                <w:rStyle w:val="55pt0pt"/>
              </w:rPr>
              <w:t>(253,06)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119,42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40"/>
            </w:pPr>
            <w:r>
              <w:rPr>
                <w:rStyle w:val="55pt0pt"/>
              </w:rPr>
              <w:t>+68,0%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(71,07)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-100,0%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720"/>
            </w:pPr>
            <w:r>
              <w:rPr>
                <w:rStyle w:val="55pt0pt"/>
              </w:rPr>
              <w:t>(9,05)</w:t>
            </w:r>
          </w:p>
        </w:tc>
      </w:tr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ind w:left="180"/>
            </w:pPr>
            <w:r>
              <w:rPr>
                <w:rStyle w:val="85pt0pt"/>
              </w:rPr>
              <w:t>Е.</w:t>
            </w:r>
            <w:proofErr w:type="gramStart"/>
            <w:r>
              <w:rPr>
                <w:rStyle w:val="85pt0pt"/>
              </w:rPr>
              <w:t>З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both"/>
            </w:pPr>
            <w:r>
              <w:rPr>
                <w:rStyle w:val="85pt0pt"/>
              </w:rPr>
              <w:t>Международная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both"/>
            </w:pPr>
            <w:r>
              <w:rPr>
                <w:rStyle w:val="85pt0pt"/>
              </w:rPr>
              <w:t>деятельность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80"/>
            </w:pPr>
            <w:r>
              <w:rPr>
                <w:rStyle w:val="55pt0pt"/>
              </w:rPr>
              <w:t>+9,4%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(4,04)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3,24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+43,4%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60"/>
            </w:pPr>
            <w:r>
              <w:rPr>
                <w:rStyle w:val="55pt0pt"/>
              </w:rPr>
              <w:t>(2,26)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0,96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+71,4%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80"/>
            </w:pPr>
            <w:r>
              <w:rPr>
                <w:rStyle w:val="55pt0pt"/>
              </w:rPr>
              <w:t>(0.56)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5,36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40"/>
            </w:pPr>
            <w:r>
              <w:rPr>
                <w:rStyle w:val="55pt0pt"/>
              </w:rPr>
              <w:t>+410,5%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700"/>
            </w:pPr>
            <w:proofErr w:type="gramStart"/>
            <w:r>
              <w:rPr>
                <w:rStyle w:val="55pt0pt"/>
              </w:rPr>
              <w:t>0Д5)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300"/>
            </w:pPr>
            <w:r>
              <w:rPr>
                <w:rStyle w:val="55pt0pt"/>
              </w:rPr>
              <w:t>+8,9%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80" w:lineRule="exact"/>
              <w:ind w:left="660"/>
            </w:pPr>
            <w:r>
              <w:rPr>
                <w:rStyle w:val="Impact4pt0pt"/>
              </w:rPr>
              <w:t>(</w:t>
            </w:r>
            <w:r>
              <w:rPr>
                <w:rStyle w:val="LucidaSansUnicode4pt0pt"/>
              </w:rPr>
              <w:t>1</w:t>
            </w:r>
            <w:r>
              <w:rPr>
                <w:rStyle w:val="Impact4pt0pt"/>
              </w:rPr>
              <w:t>.</w:t>
            </w:r>
            <w:r>
              <w:rPr>
                <w:rStyle w:val="LucidaSansUnicode4pt0pt"/>
              </w:rPr>
              <w:t>91</w:t>
            </w:r>
            <w:r>
              <w:rPr>
                <w:rStyle w:val="Impact4pt0pt"/>
              </w:rPr>
              <w:t>)</w:t>
            </w:r>
          </w:p>
        </w:tc>
      </w:tr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ind w:left="180"/>
            </w:pPr>
            <w:r>
              <w:rPr>
                <w:rStyle w:val="85pt0pt"/>
              </w:rPr>
              <w:t>Е.4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both"/>
            </w:pPr>
            <w:r>
              <w:rPr>
                <w:rStyle w:val="85pt0pt"/>
              </w:rPr>
              <w:t>Финансово-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both"/>
            </w:pPr>
            <w:r>
              <w:rPr>
                <w:rStyle w:val="85pt0pt"/>
              </w:rPr>
              <w:t>экономическая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both"/>
            </w:pPr>
            <w:r>
              <w:rPr>
                <w:rStyle w:val="85pt0pt"/>
              </w:rPr>
              <w:t>деятельность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1327,57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180"/>
            </w:pPr>
            <w:r>
              <w:rPr>
                <w:rStyle w:val="55pt0pt"/>
              </w:rPr>
              <w:t>+3,7%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jc w:val="both"/>
            </w:pPr>
            <w:r>
              <w:rPr>
                <w:rStyle w:val="55pt0pt"/>
              </w:rPr>
              <w:t>(1670,04)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1571,29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00"/>
            </w:pPr>
            <w:r>
              <w:rPr>
                <w:rStyle w:val="55pt0pt"/>
              </w:rPr>
              <w:t>+0,9%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540"/>
            </w:pPr>
            <w:r>
              <w:rPr>
                <w:rStyle w:val="55pt0pt"/>
              </w:rPr>
              <w:t>(1556,52)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1282,97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180"/>
            </w:pPr>
            <w:r>
              <w:rPr>
                <w:rStyle w:val="55pt0pt"/>
              </w:rPr>
              <w:t>-4,4%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540"/>
            </w:pPr>
            <w:r>
              <w:rPr>
                <w:rStyle w:val="55pt0pt"/>
              </w:rPr>
              <w:t>(1341,94)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2236,33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180"/>
            </w:pPr>
            <w:r>
              <w:rPr>
                <w:rStyle w:val="55pt0pt"/>
              </w:rPr>
              <w:t>+21,7%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right="180"/>
              <w:jc w:val="right"/>
            </w:pPr>
            <w:r>
              <w:rPr>
                <w:rStyle w:val="55pt0pt"/>
              </w:rPr>
              <w:t>(1836,95)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10364,25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180"/>
            </w:pPr>
            <w:r>
              <w:rPr>
                <w:rStyle w:val="55pt0pt"/>
              </w:rPr>
              <w:t>+31,3%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(7893,88)</w:t>
            </w:r>
          </w:p>
        </w:tc>
      </w:tr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ind w:left="180"/>
            </w:pPr>
            <w:r>
              <w:rPr>
                <w:rStyle w:val="85pt0pt"/>
              </w:rPr>
              <w:t>Е.5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both"/>
            </w:pPr>
            <w:r>
              <w:rPr>
                <w:rStyle w:val="85pt0pt"/>
              </w:rPr>
              <w:t>Заработная плата ППС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133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40"/>
            </w:pPr>
            <w:r>
              <w:rPr>
                <w:rStyle w:val="55pt0pt"/>
              </w:rPr>
              <w:t>+4,9%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jc w:val="both"/>
            </w:pPr>
            <w:r>
              <w:rPr>
                <w:rStyle w:val="55pt0pt"/>
              </w:rPr>
              <w:t>(158,47)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160,11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+7,1%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540"/>
            </w:pPr>
            <w:r>
              <w:rPr>
                <w:rStyle w:val="55pt0pt"/>
              </w:rPr>
              <w:t>(149,55)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148,06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180"/>
            </w:pPr>
            <w:r>
              <w:rPr>
                <w:rStyle w:val="55pt0pt"/>
              </w:rPr>
              <w:t>+ 12,7%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00"/>
            </w:pPr>
            <w:r>
              <w:rPr>
                <w:rStyle w:val="55pt0pt"/>
              </w:rPr>
              <w:t>(131,35)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175,93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180"/>
            </w:pPr>
            <w:r>
              <w:rPr>
                <w:rStyle w:val="55pt0pt"/>
              </w:rPr>
              <w:t>+■29,4%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(135,92)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150,33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-5,8%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(159,58)</w:t>
            </w:r>
          </w:p>
        </w:tc>
      </w:tr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ind w:left="180"/>
            </w:pPr>
            <w:r>
              <w:rPr>
                <w:rStyle w:val="85pt0pt"/>
              </w:rPr>
              <w:t>Е.6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both"/>
            </w:pPr>
            <w:proofErr w:type="gramStart"/>
            <w:r>
              <w:rPr>
                <w:rStyle w:val="85pt0pt"/>
              </w:rPr>
              <w:t xml:space="preserve">Т </w:t>
            </w:r>
            <w:proofErr w:type="spellStart"/>
            <w:r>
              <w:rPr>
                <w:rStyle w:val="85pt0pt"/>
              </w:rPr>
              <w:t>рудоустройство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75*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tabs>
                <w:tab w:val="left" w:leader="hyphen" w:pos="202"/>
              </w:tabs>
              <w:spacing w:before="0" w:line="200" w:lineRule="exact"/>
              <w:jc w:val="both"/>
            </w:pPr>
            <w:r>
              <w:rPr>
                <w:rStyle w:val="10pt0pt"/>
                <w:lang w:eastAsia="ru-RU" w:bidi="ru-RU"/>
              </w:rPr>
              <w:tab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ind w:left="280"/>
            </w:pPr>
            <w:proofErr w:type="spellStart"/>
            <w:r>
              <w:rPr>
                <w:rStyle w:val="85pt0pt0"/>
              </w:rPr>
              <w:t>оо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540"/>
            </w:pPr>
            <w:r>
              <w:rPr>
                <w:rStyle w:val="55pt0pt"/>
              </w:rPr>
              <w:t>—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80*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54C" w:rsidRDefault="00FF054C" w:rsidP="00FF054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0"/>
              </w:rPr>
              <w:t>70*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tabs>
                <w:tab w:val="left" w:leader="hyphen" w:pos="202"/>
              </w:tabs>
              <w:spacing w:before="0" w:line="110" w:lineRule="exact"/>
              <w:jc w:val="both"/>
            </w:pPr>
            <w:r>
              <w:rPr>
                <w:rStyle w:val="55pt0pt"/>
              </w:rPr>
              <w:tab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80*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jc w:val="center"/>
            </w:pPr>
            <w:r>
              <w:rPr>
                <w:rStyle w:val="55pt0pt"/>
              </w:rPr>
              <w:t>—</w:t>
            </w:r>
          </w:p>
        </w:tc>
      </w:tr>
      <w:tr w:rsidR="00FF054C" w:rsidTr="00FF054C">
        <w:tblPrEx>
          <w:tblCellMar>
            <w:top w:w="0" w:type="dxa"/>
            <w:bottom w:w="0" w:type="dxa"/>
          </w:tblCellMar>
        </w:tblPrEx>
        <w:trPr>
          <w:trHeight w:hRule="exact" w:val="224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ind w:left="180"/>
            </w:pPr>
            <w:r>
              <w:rPr>
                <w:rStyle w:val="85pt0pt"/>
              </w:rPr>
              <w:t>Е.8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after="60" w:line="170" w:lineRule="exact"/>
              <w:jc w:val="both"/>
            </w:pPr>
            <w:r>
              <w:rPr>
                <w:rStyle w:val="85pt0pt"/>
              </w:rPr>
              <w:t>Дополнительный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line="170" w:lineRule="exact"/>
              <w:jc w:val="both"/>
            </w:pPr>
            <w:r>
              <w:rPr>
                <w:rStyle w:val="85pt0pt"/>
              </w:rPr>
              <w:t>показатель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r>
              <w:rPr>
                <w:rStyle w:val="85pt0pt0"/>
              </w:rPr>
              <w:t>2,78-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proofErr w:type="spellStart"/>
            <w:r>
              <w:rPr>
                <w:rStyle w:val="85pt0pt"/>
              </w:rPr>
              <w:t>УлГПУ</w:t>
            </w:r>
            <w:proofErr w:type="spellEnd"/>
            <w:r>
              <w:rPr>
                <w:rStyle w:val="85pt0pt"/>
              </w:rPr>
              <w:t>,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227" w:lineRule="exact"/>
              <w:jc w:val="center"/>
            </w:pPr>
            <w:proofErr w:type="spellStart"/>
            <w:r>
              <w:rPr>
                <w:rStyle w:val="85pt0pt"/>
              </w:rPr>
              <w:t>УлГТУ</w:t>
            </w:r>
            <w:proofErr w:type="spellEnd"/>
            <w:r>
              <w:rPr>
                <w:rStyle w:val="85pt0pt"/>
              </w:rPr>
              <w:t>,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after="180" w:line="227" w:lineRule="exact"/>
              <w:jc w:val="center"/>
            </w:pPr>
            <w:proofErr w:type="spellStart"/>
            <w:r>
              <w:rPr>
                <w:rStyle w:val="85pt0pt"/>
              </w:rPr>
              <w:t>УлГУ</w:t>
            </w:r>
            <w:proofErr w:type="spellEnd"/>
          </w:p>
          <w:p w:rsidR="00FF054C" w:rsidRDefault="00FF054C" w:rsidP="00FF054C">
            <w:pPr>
              <w:pStyle w:val="21"/>
              <w:shd w:val="clear" w:color="auto" w:fill="auto"/>
              <w:spacing w:before="180" w:after="60" w:line="170" w:lineRule="exact"/>
              <w:jc w:val="center"/>
            </w:pPr>
            <w:r>
              <w:rPr>
                <w:rStyle w:val="85pt0pt0"/>
              </w:rPr>
              <w:t>59-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60" w:after="240" w:line="170" w:lineRule="exact"/>
              <w:jc w:val="center"/>
            </w:pPr>
            <w:r>
              <w:rPr>
                <w:rStyle w:val="85pt0pt"/>
              </w:rPr>
              <w:t>УГСХА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240" w:line="170" w:lineRule="exact"/>
              <w:jc w:val="center"/>
            </w:pPr>
            <w:r>
              <w:rPr>
                <w:rStyle w:val="85pt0pt"/>
              </w:rPr>
              <w:t>7- УИ ГА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80"/>
            </w:pPr>
            <w:r>
              <w:rPr>
                <w:rStyle w:val="55pt0pt"/>
              </w:rPr>
              <w:t>+0,8%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(5,25)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3,96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-10,2%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60"/>
            </w:pPr>
            <w:r>
              <w:rPr>
                <w:rStyle w:val="55pt0pt"/>
              </w:rPr>
              <w:t>(4,41)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4,47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+ 10,4%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80"/>
            </w:pPr>
            <w:r>
              <w:rPr>
                <w:rStyle w:val="55pt0pt"/>
              </w:rPr>
              <w:t>(4.05)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63,83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300"/>
            </w:pPr>
            <w:r>
              <w:rPr>
                <w:rStyle w:val="55pt0pt"/>
              </w:rPr>
              <w:t>-5,7%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20"/>
            </w:pPr>
            <w:r>
              <w:rPr>
                <w:rStyle w:val="55pt0pt"/>
              </w:rPr>
              <w:t>(67,7)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4,19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260"/>
            </w:pPr>
            <w:r>
              <w:rPr>
                <w:rStyle w:val="55pt0pt"/>
              </w:rPr>
              <w:t>-62,8%</w:t>
            </w:r>
          </w:p>
          <w:p w:rsidR="00FF054C" w:rsidRDefault="00FF054C" w:rsidP="00FF054C">
            <w:pPr>
              <w:pStyle w:val="21"/>
              <w:shd w:val="clear" w:color="auto" w:fill="auto"/>
              <w:spacing w:before="0" w:line="110" w:lineRule="exact"/>
              <w:ind w:left="660"/>
            </w:pPr>
            <w:r>
              <w:rPr>
                <w:rStyle w:val="55pt0pt"/>
              </w:rPr>
              <w:t>(1 1,27)</w:t>
            </w:r>
          </w:p>
        </w:tc>
      </w:tr>
    </w:tbl>
    <w:p w:rsidR="00FF054C" w:rsidRDefault="00FF054C" w:rsidP="00FF054C">
      <w:pPr>
        <w:pStyle w:val="20"/>
        <w:shd w:val="clear" w:color="auto" w:fill="auto"/>
        <w:spacing w:after="0" w:line="240" w:lineRule="exact"/>
        <w:ind w:left="20"/>
        <w:jc w:val="center"/>
      </w:pPr>
    </w:p>
    <w:sectPr w:rsidR="00FF054C" w:rsidSect="00FF05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5A7"/>
    <w:multiLevelType w:val="multilevel"/>
    <w:tmpl w:val="3A3EC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54C"/>
    <w:rsid w:val="00E16602"/>
    <w:rsid w:val="00E95145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054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F054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54C"/>
    <w:pPr>
      <w:widowControl w:val="0"/>
      <w:shd w:val="clear" w:color="auto" w:fill="FFFFFF"/>
      <w:spacing w:after="60" w:line="284" w:lineRule="exac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1">
    <w:name w:val="Основной текст2"/>
    <w:basedOn w:val="a"/>
    <w:link w:val="a3"/>
    <w:rsid w:val="00FF054C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customStyle="1" w:styleId="0pt">
    <w:name w:val="Основной текст + Полужирный;Интервал 0 pt"/>
    <w:basedOn w:val="a3"/>
    <w:rsid w:val="00FF054C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3"/>
    <w:rsid w:val="00FF054C"/>
    <w:rPr>
      <w:b w:val="0"/>
      <w:bCs w:val="0"/>
      <w:i/>
      <w:iCs/>
      <w:smallCaps w:val="0"/>
      <w:strike w:val="0"/>
      <w:color w:val="000000"/>
      <w:spacing w:val="3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3"/>
    <w:rsid w:val="00FF054C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3"/>
    <w:rsid w:val="00FF054C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3"/>
    <w:rsid w:val="00FF054C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4pt0pt">
    <w:name w:val="Основной текст + Impact;4 pt;Интервал 0 pt"/>
    <w:basedOn w:val="a3"/>
    <w:rsid w:val="00FF054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LucidaSansUnicode4pt0pt">
    <w:name w:val="Основной текст + Lucida Sans Unicode;4 pt;Интервал 0 pt"/>
    <w:basedOn w:val="a3"/>
    <w:rsid w:val="00FF05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FF05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2016-09-14T11:11:00Z</dcterms:created>
  <dcterms:modified xsi:type="dcterms:W3CDTF">2016-09-14T11:17:00Z</dcterms:modified>
</cp:coreProperties>
</file>